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B20E32">
        <w:rPr>
          <w:rFonts w:ascii="Nutmeg Book" w:hAnsi="Nutmeg Book"/>
          <w:b/>
          <w:noProof/>
          <w:sz w:val="32"/>
          <w:szCs w:val="32"/>
          <w:lang w:eastAsia="es-MX"/>
        </w:rPr>
        <w:t>5</w:t>
      </w:r>
      <w:r w:rsidR="003F2C46" w:rsidRPr="003F2C46">
        <w:rPr>
          <w:rFonts w:ascii="Nutmeg Book" w:hAnsi="Nutmeg Book"/>
          <w:b/>
          <w:noProof/>
          <w:sz w:val="32"/>
          <w:szCs w:val="32"/>
          <w:lang w:eastAsia="es-MX"/>
        </w:rPr>
        <w:t>/9</w:t>
      </w:r>
      <w:r w:rsidR="00B20E32">
        <w:rPr>
          <w:rFonts w:ascii="Nutmeg Book" w:hAnsi="Nutmeg Book"/>
          <w:b/>
          <w:noProof/>
          <w:sz w:val="32"/>
          <w:szCs w:val="32"/>
          <w:lang w:eastAsia="es-MX"/>
        </w:rPr>
        <w:t>3579</w:t>
      </w:r>
      <w:r w:rsidR="003F2C46" w:rsidRPr="003F2C46">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B20E32">
        <w:rPr>
          <w:rFonts w:ascii="Nutmeg Book" w:hAnsi="Nutmeg Book"/>
          <w:b/>
          <w:noProof/>
          <w:sz w:val="32"/>
          <w:szCs w:val="32"/>
          <w:lang w:eastAsia="es-MX"/>
        </w:rPr>
        <w:t>BALERO CONICO PARA BANDA FILTRO PRENSA</w:t>
      </w:r>
      <w:r w:rsidR="0046115E">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3F2C46" w:rsidRPr="003F2C46">
        <w:rPr>
          <w:rFonts w:ascii="Nutmeg Book" w:hAnsi="Nutmeg Book"/>
          <w:noProof/>
          <w:sz w:val="20"/>
          <w:lang w:eastAsia="es-MX"/>
        </w:rPr>
        <w:t>3</w:t>
      </w:r>
      <w:r w:rsidR="00B20E32">
        <w:rPr>
          <w:rFonts w:ascii="Nutmeg Book" w:hAnsi="Nutmeg Book"/>
          <w:noProof/>
          <w:sz w:val="20"/>
          <w:lang w:eastAsia="es-MX"/>
        </w:rPr>
        <w:t>5</w:t>
      </w:r>
      <w:r w:rsidR="003F2C46" w:rsidRPr="003F2C46">
        <w:rPr>
          <w:rFonts w:ascii="Nutmeg Book" w:hAnsi="Nutmeg Book"/>
          <w:noProof/>
          <w:sz w:val="20"/>
          <w:lang w:eastAsia="es-MX"/>
        </w:rPr>
        <w:t>/9</w:t>
      </w:r>
      <w:r w:rsidR="00B20E32">
        <w:rPr>
          <w:rFonts w:ascii="Nutmeg Book" w:hAnsi="Nutmeg Book"/>
          <w:noProof/>
          <w:sz w:val="20"/>
          <w:lang w:eastAsia="es-MX"/>
        </w:rPr>
        <w:t>3579</w:t>
      </w:r>
      <w:r w:rsidR="003F2C46" w:rsidRPr="003F2C46">
        <w:rPr>
          <w:rFonts w:ascii="Nutmeg Book" w:hAnsi="Nutmeg Book"/>
          <w:noProof/>
          <w:sz w:val="20"/>
          <w:lang w:eastAsia="es-MX"/>
        </w:rPr>
        <w:t>/2019</w:t>
      </w:r>
      <w:r w:rsidR="003F2C46">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bookmarkStart w:id="2" w:name="_Hlk7506189"/>
      <w:r w:rsidR="00B20E32">
        <w:rPr>
          <w:rFonts w:ascii="Nutmeg Book" w:hAnsi="Nutmeg Book"/>
          <w:noProof/>
          <w:sz w:val="20"/>
          <w:lang w:eastAsia="es-MX"/>
        </w:rPr>
        <w:t>BALERO CONICO PARA BANDA FILTRO PRENSA</w:t>
      </w:r>
      <w:bookmarkEnd w:id="2"/>
      <w:r w:rsidR="003F2C46" w:rsidRPr="003F2C46">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6115E">
        <w:rPr>
          <w:rFonts w:ascii="Nutmeg Book" w:hAnsi="Nutmeg Book"/>
          <w:noProof/>
          <w:sz w:val="20"/>
          <w:lang w:val="es-ES" w:eastAsia="es-MX"/>
        </w:rPr>
        <w:t>317</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D72ACC" w:rsidP="00CE3098">
      <w:pPr>
        <w:pStyle w:val="Textoindependiente"/>
        <w:numPr>
          <w:ilvl w:val="0"/>
          <w:numId w:val="23"/>
        </w:numPr>
        <w:rPr>
          <w:rFonts w:ascii="Nutmeg Book" w:hAnsi="Nutmeg Book" w:cs="Arial"/>
          <w:sz w:val="20"/>
        </w:rPr>
      </w:pPr>
      <w:r>
        <w:rPr>
          <w:rFonts w:ascii="Nutmeg Book" w:hAnsi="Nutmeg Book" w:cs="Arial"/>
          <w:sz w:val="20"/>
        </w:rPr>
        <w:t>ANEXAR FOLLETOS DE LA HERRAMIENTA A OFERTAR</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B20E32">
        <w:rPr>
          <w:rFonts w:ascii="Nutmeg Book" w:hAnsi="Nutmeg Book"/>
          <w:noProof/>
          <w:sz w:val="20"/>
          <w:u w:val="single"/>
          <w:lang w:eastAsia="es-MX"/>
        </w:rPr>
        <w:t>5</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0228CA" w:rsidRPr="00D514E7">
        <w:rPr>
          <w:rFonts w:ascii="Nutmeg Book" w:hAnsi="Nutmeg Book"/>
          <w:noProof/>
          <w:sz w:val="20"/>
          <w:lang w:eastAsia="es-MX"/>
        </w:rPr>
        <w:t>:</w:t>
      </w:r>
      <w:r w:rsidR="00B20E32">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B20E32">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7443291"/>
      <w:bookmarkStart w:id="4"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B20E32">
        <w:rPr>
          <w:rFonts w:ascii="Nutmeg Book" w:hAnsi="Nutmeg Book"/>
          <w:noProof/>
          <w:sz w:val="20"/>
          <w:lang w:eastAsia="es-MX"/>
        </w:rPr>
        <w:t>5</w:t>
      </w:r>
      <w:r w:rsidR="009E78DE" w:rsidRPr="009E78DE">
        <w:rPr>
          <w:rFonts w:ascii="Nutmeg Book" w:hAnsi="Nutmeg Book"/>
          <w:noProof/>
          <w:sz w:val="20"/>
          <w:lang w:eastAsia="es-MX"/>
        </w:rPr>
        <w:t>/9</w:t>
      </w:r>
      <w:r w:rsidR="00B20E32">
        <w:rPr>
          <w:rFonts w:ascii="Nutmeg Book" w:hAnsi="Nutmeg Book"/>
          <w:noProof/>
          <w:sz w:val="20"/>
          <w:lang w:eastAsia="es-MX"/>
        </w:rPr>
        <w:t>3579</w:t>
      </w:r>
      <w:r w:rsidR="009E78DE" w:rsidRPr="009E78DE">
        <w:rPr>
          <w:rFonts w:ascii="Nutmeg Book" w:hAnsi="Nutmeg Book"/>
          <w:noProof/>
          <w:sz w:val="20"/>
          <w:lang w:eastAsia="es-MX"/>
        </w:rPr>
        <w:t>/2019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9E78DE">
        <w:rPr>
          <w:rFonts w:ascii="Nutmeg Book" w:hAnsi="Nutmeg Book"/>
          <w:noProof/>
          <w:sz w:val="20"/>
          <w:lang w:eastAsia="es-MX"/>
        </w:rPr>
        <w:t xml:space="preserve"> </w:t>
      </w:r>
      <w:r w:rsidR="00B20E32" w:rsidRPr="00B20E32">
        <w:rPr>
          <w:rFonts w:ascii="Nutmeg Book" w:hAnsi="Nutmeg Book"/>
          <w:noProof/>
          <w:sz w:val="20"/>
          <w:lang w:val="es-ES" w:eastAsia="es-MX"/>
        </w:rPr>
        <w:t>BALERO CONICO PARA BANDA FILTRO PRENSA</w:t>
      </w:r>
      <w:r w:rsidR="00B20E32" w:rsidRPr="00B20E32">
        <w:rPr>
          <w:rFonts w:ascii="Nutmeg Book" w:hAnsi="Nutmeg Book"/>
          <w:noProof/>
          <w:sz w:val="20"/>
          <w:lang w:val="es-ES" w:eastAsia="es-MX"/>
        </w:rPr>
        <w:t xml:space="preserve"> </w:t>
      </w:r>
      <w:r w:rsidR="00172A39" w:rsidRPr="00D514E7">
        <w:rPr>
          <w:rFonts w:ascii="Nutmeg Book" w:hAnsi="Nutmeg Book"/>
          <w:noProof/>
          <w:sz w:val="20"/>
          <w:lang w:eastAsia="es-MX"/>
        </w:rPr>
        <w:t>ACUERDO AL ANEXO 1</w:t>
      </w:r>
      <w:bookmarkEnd w:id="3"/>
      <w:r w:rsidR="00172A39" w:rsidRPr="00D514E7">
        <w:rPr>
          <w:rFonts w:ascii="Nutmeg Book" w:hAnsi="Nutmeg Book"/>
          <w:noProof/>
          <w:sz w:val="20"/>
          <w:lang w:eastAsia="es-MX"/>
        </w:rPr>
        <w:t xml:space="preserve"> DE LAS BASES</w:t>
      </w:r>
      <w:bookmarkEnd w:id="4"/>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proofErr w:type="spellStart"/>
            <w:r w:rsidRPr="00B20E32">
              <w:rPr>
                <w:rFonts w:ascii="Nutmeg Book" w:hAnsi="Nutmeg Book" w:cs="Arial"/>
                <w:b/>
                <w:sz w:val="16"/>
                <w:szCs w:val="16"/>
              </w:rPr>
              <w:t>Pzas</w:t>
            </w:r>
            <w:proofErr w:type="spellEnd"/>
            <w:r w:rsidRPr="00B20E32">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 xml:space="preserve">Balero </w:t>
            </w:r>
            <w:proofErr w:type="spellStart"/>
            <w:r w:rsidRPr="00B20E32">
              <w:rPr>
                <w:rFonts w:ascii="Nutmeg Book" w:hAnsi="Nutmeg Book" w:cs="Arial"/>
                <w:b/>
                <w:sz w:val="16"/>
                <w:szCs w:val="16"/>
              </w:rPr>
              <w:t>Conico</w:t>
            </w:r>
            <w:proofErr w:type="spellEnd"/>
            <w:r w:rsidRPr="00B20E32">
              <w:rPr>
                <w:rFonts w:ascii="Nutmeg Book" w:hAnsi="Nutmeg Book" w:cs="Arial"/>
                <w:b/>
                <w:sz w:val="16"/>
                <w:szCs w:val="16"/>
              </w:rPr>
              <w:t xml:space="preserve"> 22312E1AK.M.C.3</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Pza.</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Balero No. 22308-E1-C3</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D72ACC" w:rsidRPr="00B20E32" w:rsidRDefault="003647CC" w:rsidP="00B20E32">
      <w:pPr>
        <w:jc w:val="center"/>
        <w:rPr>
          <w:rFonts w:ascii="Nutmeg Book" w:hAnsi="Nutmeg Book"/>
          <w:sz w:val="20"/>
          <w:szCs w:val="20"/>
        </w:rPr>
      </w:pPr>
      <w:r w:rsidRPr="00D514E7">
        <w:rPr>
          <w:rFonts w:ascii="Nutmeg Book" w:hAnsi="Nutmeg Book"/>
          <w:sz w:val="20"/>
          <w:szCs w:val="20"/>
        </w:rPr>
        <w:t xml:space="preserve">Razón social de la </w:t>
      </w:r>
      <w:proofErr w:type="spellStart"/>
      <w:r w:rsidRPr="00D514E7">
        <w:rPr>
          <w:rFonts w:ascii="Nutmeg Book" w:hAnsi="Nutmeg Book"/>
          <w:sz w:val="20"/>
          <w:szCs w:val="20"/>
        </w:rPr>
        <w:t>empres</w:t>
      </w:r>
      <w:r w:rsidR="00B20E32">
        <w:rPr>
          <w:rFonts w:ascii="Nutmeg Book" w:hAnsi="Nutmeg Book"/>
          <w:sz w:val="20"/>
          <w:szCs w:val="20"/>
        </w:rPr>
        <w:t>A</w:t>
      </w:r>
      <w:proofErr w:type="spellEnd"/>
    </w:p>
    <w:p w:rsidR="00D72ACC" w:rsidRDefault="00D72ACC"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B20E32" w:rsidP="00172A39">
      <w:pPr>
        <w:jc w:val="center"/>
        <w:rPr>
          <w:rFonts w:ascii="Nutmeg Book" w:hAnsi="Nutmeg Book"/>
          <w:b/>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B20E32" w:rsidP="005434DB">
      <w:pPr>
        <w:jc w:val="center"/>
        <w:rPr>
          <w:rFonts w:ascii="Nutmeg Book" w:hAnsi="Nutmeg Book"/>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B20E32" w:rsidP="00172A39">
      <w:pPr>
        <w:jc w:val="center"/>
        <w:rPr>
          <w:rFonts w:ascii="Nutmeg Book" w:hAnsi="Nutmeg Book"/>
          <w:b/>
          <w:sz w:val="18"/>
          <w:szCs w:val="18"/>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B20E32" w:rsidP="00812B0F">
      <w:pPr>
        <w:jc w:val="center"/>
        <w:rPr>
          <w:rFonts w:ascii="Nutmeg Book" w:hAnsi="Nutmeg Book"/>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B20E32" w:rsidP="00812B0F">
      <w:pPr>
        <w:jc w:val="center"/>
        <w:rPr>
          <w:rFonts w:ascii="Nutmeg Book" w:hAnsi="Nutmeg Book"/>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B20E32" w:rsidRDefault="00B20E32" w:rsidP="000E6A04">
      <w:pPr>
        <w:jc w:val="both"/>
        <w:rPr>
          <w:rFonts w:ascii="Nutmeg Book" w:hAnsi="Nutmeg Book"/>
          <w:b/>
          <w:bCs/>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Pr="00B20E32">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B20E32" w:rsidRDefault="00B20E32" w:rsidP="000E6A04">
      <w:pPr>
        <w:jc w:val="both"/>
        <w:rPr>
          <w:rFonts w:ascii="Nutmeg Book" w:hAnsi="Nutmeg Book"/>
          <w:b/>
          <w:noProof/>
          <w:sz w:val="20"/>
          <w:lang w:eastAsia="es-MX"/>
        </w:rPr>
      </w:pPr>
      <w:r w:rsidRPr="00B20E32">
        <w:rPr>
          <w:rFonts w:ascii="Nutmeg Book" w:hAnsi="Nutmeg Book"/>
          <w:noProof/>
          <w:sz w:val="20"/>
          <w:lang w:eastAsia="es-MX"/>
        </w:rPr>
        <w:t>LICITACION PUBLICA LOCAL SIN CONCURRENCIA SEAPAL Nº 35/93579/2019PARA LA ADQUISICIÓN DE   BALERO CONICO PARA BANDA FILTRO PRENSA ACUERDO AL ANEXO 1 DE LAS BASES</w:t>
      </w:r>
      <w:r w:rsidRPr="00B20E32">
        <w:rPr>
          <w:rFonts w:ascii="Nutmeg Book" w:hAnsi="Nutmeg Book"/>
          <w:b/>
          <w:noProof/>
          <w:sz w:val="20"/>
          <w:lang w:eastAsia="es-MX"/>
        </w:rPr>
        <w:t xml:space="preserve"> </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B20E32" w:rsidP="009E78DE">
      <w:pPr>
        <w:pStyle w:val="Textoindependiente"/>
        <w:jc w:val="center"/>
        <w:rPr>
          <w:rFonts w:ascii="Nutmeg Book" w:hAnsi="Nutmeg Book"/>
          <w:b/>
          <w:sz w:val="20"/>
        </w:rPr>
      </w:pPr>
      <w:r w:rsidRPr="00B20E32">
        <w:rPr>
          <w:rFonts w:ascii="Nutmeg Book" w:hAnsi="Nutmeg Book"/>
          <w:noProof/>
          <w:sz w:val="20"/>
          <w:lang w:val="es-ES" w:eastAsia="es-MX"/>
        </w:rPr>
        <w:t>LICITACION PUBLICA LOCAL SIN CONCURRENCIA SEAPAL Nº 35/93579/2019PARA LA ADQUISICIÓN DE   BALERO CONICO PARA BANDA FILTRO PRENSA ACUERDO AL ANEXO 1 DE LAS BASES</w:t>
      </w:r>
      <w:bookmarkStart w:id="5" w:name="_GoBack"/>
      <w:bookmarkEnd w:id="5"/>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41" w:rsidRDefault="00DF2741">
      <w:r>
        <w:separator/>
      </w:r>
    </w:p>
  </w:endnote>
  <w:endnote w:type="continuationSeparator" w:id="0">
    <w:p w:rsidR="00DF2741" w:rsidRDefault="00DF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6115E" w:rsidRDefault="0046115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6115E" w:rsidRDefault="0046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41" w:rsidRDefault="00DF2741">
      <w:r>
        <w:separator/>
      </w:r>
    </w:p>
  </w:footnote>
  <w:footnote w:type="continuationSeparator" w:id="0">
    <w:p w:rsidR="00DF2741" w:rsidRDefault="00DF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5E" w:rsidRDefault="0046115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2E1C71"/>
    <w:rsid w:val="003647CC"/>
    <w:rsid w:val="00372791"/>
    <w:rsid w:val="003E717C"/>
    <w:rsid w:val="003F22F6"/>
    <w:rsid w:val="003F2C46"/>
    <w:rsid w:val="004141BA"/>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20E32"/>
    <w:rsid w:val="00B4494D"/>
    <w:rsid w:val="00C42B95"/>
    <w:rsid w:val="00C56BF2"/>
    <w:rsid w:val="00C661AC"/>
    <w:rsid w:val="00C7025D"/>
    <w:rsid w:val="00C85D7F"/>
    <w:rsid w:val="00CB40C0"/>
    <w:rsid w:val="00CE3098"/>
    <w:rsid w:val="00D17D76"/>
    <w:rsid w:val="00D27C37"/>
    <w:rsid w:val="00D470DE"/>
    <w:rsid w:val="00D514E7"/>
    <w:rsid w:val="00D72ACC"/>
    <w:rsid w:val="00D870F8"/>
    <w:rsid w:val="00DA00AA"/>
    <w:rsid w:val="00DA614D"/>
    <w:rsid w:val="00DF2741"/>
    <w:rsid w:val="00E04494"/>
    <w:rsid w:val="00E2355B"/>
    <w:rsid w:val="00E52665"/>
    <w:rsid w:val="00EA4ED6"/>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9BC6E"/>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184">
      <w:bodyDiv w:val="1"/>
      <w:marLeft w:val="0"/>
      <w:marRight w:val="0"/>
      <w:marTop w:val="0"/>
      <w:marBottom w:val="0"/>
      <w:divBdr>
        <w:top w:val="none" w:sz="0" w:space="0" w:color="auto"/>
        <w:left w:val="none" w:sz="0" w:space="0" w:color="auto"/>
        <w:bottom w:val="none" w:sz="0" w:space="0" w:color="auto"/>
        <w:right w:val="none" w:sz="0" w:space="0" w:color="auto"/>
      </w:divBdr>
    </w:div>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47</Pages>
  <Words>14978</Words>
  <Characters>82384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31</cp:revision>
  <dcterms:created xsi:type="dcterms:W3CDTF">2019-03-14T21:58:00Z</dcterms:created>
  <dcterms:modified xsi:type="dcterms:W3CDTF">2019-04-30T13:44:00Z</dcterms:modified>
</cp:coreProperties>
</file>