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826DFB">
        <w:rPr>
          <w:rFonts w:ascii="Avenir LT Std 55 Roman" w:hAnsi="Avenir LT Std 55 Roman"/>
          <w:b/>
          <w:noProof/>
          <w:color w:val="000000" w:themeColor="text1"/>
          <w:sz w:val="32"/>
          <w:szCs w:val="32"/>
          <w:lang w:eastAsia="es-MX"/>
        </w:rPr>
        <w:t>37/83283</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400E4D">
      <w:pPr>
        <w:pStyle w:val="Textoindependiente"/>
        <w:spacing w:line="264" w:lineRule="auto"/>
        <w:ind w:left="708" w:hanging="708"/>
        <w:jc w:val="center"/>
        <w:rPr>
          <w:rFonts w:ascii="Avenir LT Std 55 Roman" w:hAnsi="Avenir LT Std 55 Roman"/>
          <w:noProof/>
          <w:color w:val="000000" w:themeColor="text1"/>
          <w:sz w:val="32"/>
          <w:szCs w:val="32"/>
          <w:lang w:eastAsia="es-MX"/>
        </w:rPr>
      </w:pPr>
    </w:p>
    <w:p w:rsidR="003647CC" w:rsidRPr="00B36E17" w:rsidRDefault="00826DFB" w:rsidP="00400E4D">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SUMINISTRO, INSTALACION Y PUESTA EN MARCHA DE FILTRO BANDA PARA DESAGUADO DE LODOS </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5A43F4" w:rsidRDefault="003647CC" w:rsidP="00826DFB">
      <w:pPr>
        <w:pStyle w:val="Textoindependiente"/>
        <w:spacing w:line="264" w:lineRule="auto"/>
        <w:rPr>
          <w:rFonts w:ascii="Avenir LT Std 55 Roman" w:hAnsi="Avenir LT Std 55 Roman"/>
          <w:b/>
          <w:noProof/>
          <w:color w:val="000000" w:themeColor="text1"/>
          <w:sz w:val="20"/>
          <w:szCs w:val="32"/>
          <w:lang w:eastAsia="es-MX"/>
        </w:rPr>
      </w:pPr>
      <w:r w:rsidRPr="00B36E17">
        <w:rPr>
          <w:rFonts w:ascii="Avenir LT Std 55 Roman" w:hAnsi="Avenir LT Std 55 Roman"/>
          <w:noProof/>
          <w:color w:val="000000" w:themeColor="text1"/>
          <w:sz w:val="20"/>
          <w:lang w:eastAsia="es-MX"/>
        </w:rPr>
        <w:lastRenderedPageBreak/>
        <w:t>Con fundamento en lo previsto por los artículos 1° puntos 1, 2 y</w:t>
      </w:r>
      <w:r w:rsidR="00400E4D">
        <w:rPr>
          <w:rFonts w:ascii="Avenir LT Std 55 Roman" w:hAnsi="Avenir LT Std 55 Roman"/>
          <w:noProof/>
          <w:color w:val="000000" w:themeColor="text1"/>
          <w:sz w:val="20"/>
          <w:lang w:eastAsia="es-MX"/>
        </w:rPr>
        <w:t xml:space="preserve"> 4, 3° y 47 al 112 de la Ley de </w:t>
      </w:r>
      <w:r w:rsidRPr="00B36E17">
        <w:rPr>
          <w:rFonts w:ascii="Avenir LT Std 55 Roman" w:hAnsi="Avenir LT Std 55 Roman"/>
          <w:noProof/>
          <w:color w:val="000000" w:themeColor="text1"/>
          <w:sz w:val="20"/>
          <w:lang w:eastAsia="es-MX"/>
        </w:rPr>
        <w:t xml:space="preserve">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826DFB">
        <w:rPr>
          <w:rFonts w:ascii="Avenir LT Std 55 Roman" w:hAnsi="Avenir LT Std 55 Roman"/>
          <w:b/>
          <w:noProof/>
          <w:color w:val="000000" w:themeColor="text1"/>
          <w:sz w:val="20"/>
          <w:lang w:eastAsia="es-MX"/>
        </w:rPr>
        <w:t>37/83283</w:t>
      </w:r>
      <w:r w:rsidR="00D021C6">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826DFB" w:rsidRPr="00826DFB">
        <w:rPr>
          <w:rFonts w:ascii="Avenir LT Std 55 Roman" w:hAnsi="Avenir LT Std 55 Roman"/>
          <w:b/>
          <w:noProof/>
          <w:color w:val="000000" w:themeColor="text1"/>
          <w:sz w:val="24"/>
          <w:szCs w:val="32"/>
          <w:lang w:eastAsia="es-MX"/>
        </w:rPr>
        <w:t>SUMINISTRO, INSTALACION Y PUESTA EN MARCHA DE FILTRO BANDA PARA DESAGUADO DE LODOS  CON ESPECIFICACIONES TECNICAS  DE ACUERDO AL ANEXO 1 DE LAS BASES</w:t>
      </w: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lastRenderedPageBreak/>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283E3F">
        <w:rPr>
          <w:rFonts w:ascii="Avenir LT Std 55 Roman" w:hAnsi="Avenir LT Std 55 Roman"/>
          <w:noProof/>
          <w:color w:val="000000" w:themeColor="text1"/>
          <w:sz w:val="20"/>
          <w:lang w:eastAsia="es-MX"/>
        </w:rPr>
        <w:t>1</w:t>
      </w:r>
      <w:r w:rsidR="00334C84">
        <w:rPr>
          <w:rFonts w:ascii="Avenir LT Std 55 Roman" w:hAnsi="Avenir LT Std 55 Roman"/>
          <w:noProof/>
          <w:color w:val="000000" w:themeColor="text1"/>
          <w:sz w:val="20"/>
          <w:lang w:eastAsia="es-MX"/>
        </w:rPr>
        <w:t>0</w:t>
      </w:r>
      <w:r w:rsidR="00826DFB">
        <w:rPr>
          <w:rFonts w:ascii="Avenir LT Std 55 Roman" w:hAnsi="Avenir LT Std 55 Roman"/>
          <w:noProof/>
          <w:color w:val="000000" w:themeColor="text1"/>
          <w:sz w:val="20"/>
          <w:lang w:eastAsia="es-MX"/>
        </w:rPr>
        <w:t>:3</w:t>
      </w:r>
      <w:r w:rsidR="00283E3F">
        <w:rPr>
          <w:rFonts w:ascii="Avenir LT Std 55 Roman" w:hAnsi="Avenir LT Std 55 Roman"/>
          <w:noProof/>
          <w:color w:val="000000" w:themeColor="text1"/>
          <w:sz w:val="20"/>
          <w:lang w:eastAsia="es-MX"/>
        </w:rPr>
        <w:t>0</w:t>
      </w:r>
      <w:r w:rsidR="00D021C6">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hrs del día </w:t>
      </w:r>
      <w:r w:rsidR="00334C84">
        <w:rPr>
          <w:rFonts w:ascii="Avenir LT Std 55 Roman" w:hAnsi="Avenir LT Std 55 Roman"/>
          <w:noProof/>
          <w:color w:val="000000" w:themeColor="text1"/>
          <w:sz w:val="20"/>
          <w:lang w:eastAsia="es-MX"/>
        </w:rPr>
        <w:t>25</w:t>
      </w:r>
      <w:r w:rsidR="00732130">
        <w:rPr>
          <w:rFonts w:ascii="Avenir LT Std 55 Roman" w:hAnsi="Avenir LT Std 55 Roman"/>
          <w:noProof/>
          <w:color w:val="000000" w:themeColor="text1"/>
          <w:sz w:val="20"/>
          <w:lang w:eastAsia="es-MX"/>
        </w:rPr>
        <w:t xml:space="preserve"> de Octubre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lastRenderedPageBreak/>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2130">
        <w:rPr>
          <w:rFonts w:ascii="Avenir LT Std 55 Roman" w:hAnsi="Avenir LT Std 55 Roman"/>
          <w:noProof/>
          <w:color w:val="000000" w:themeColor="text1"/>
          <w:sz w:val="20"/>
          <w:lang w:eastAsia="es-MX"/>
        </w:rPr>
        <w:t>2</w:t>
      </w:r>
      <w:r w:rsidR="00334C84">
        <w:rPr>
          <w:rFonts w:ascii="Avenir LT Std 55 Roman" w:hAnsi="Avenir LT Std 55 Roman"/>
          <w:noProof/>
          <w:color w:val="000000" w:themeColor="text1"/>
          <w:sz w:val="20"/>
          <w:lang w:eastAsia="es-MX"/>
        </w:rPr>
        <w:t>3</w:t>
      </w:r>
      <w:r w:rsidR="00E34297">
        <w:rPr>
          <w:rFonts w:ascii="Avenir LT Std 55 Roman" w:hAnsi="Avenir LT Std 55 Roman"/>
          <w:noProof/>
          <w:color w:val="000000" w:themeColor="text1"/>
          <w:sz w:val="20"/>
          <w:lang w:eastAsia="es-MX"/>
        </w:rPr>
        <w:t xml:space="preserve"> de </w:t>
      </w:r>
      <w:r w:rsidR="00334C84">
        <w:rPr>
          <w:rFonts w:ascii="Avenir LT Std 55 Roman" w:hAnsi="Avenir LT Std 55 Roman"/>
          <w:noProof/>
          <w:color w:val="000000" w:themeColor="text1"/>
          <w:sz w:val="20"/>
          <w:lang w:eastAsia="es-MX"/>
        </w:rPr>
        <w:t>Octubre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Pr="00B36E17"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lastRenderedPageBreak/>
        <w:t xml:space="preserve">Este acto se llevará a cabo </w:t>
      </w:r>
      <w:r w:rsidRPr="00B36E17">
        <w:rPr>
          <w:rFonts w:ascii="Avenir LT Std 55 Roman" w:hAnsi="Avenir LT Std 55 Roman"/>
          <w:noProof/>
          <w:color w:val="000000" w:themeColor="text1"/>
          <w:sz w:val="20"/>
          <w:lang w:eastAsia="es-MX"/>
        </w:rPr>
        <w:t xml:space="preserve">a las </w:t>
      </w:r>
      <w:r w:rsidR="00826DFB">
        <w:rPr>
          <w:rFonts w:ascii="Avenir LT Std 55 Roman" w:hAnsi="Avenir LT Std 55 Roman"/>
          <w:noProof/>
          <w:color w:val="000000" w:themeColor="text1"/>
          <w:sz w:val="20"/>
          <w:lang w:eastAsia="es-MX"/>
        </w:rPr>
        <w:t>10:4</w:t>
      </w:r>
      <w:r w:rsidR="00334C84">
        <w:rPr>
          <w:rFonts w:ascii="Avenir LT Std 55 Roman" w:hAnsi="Avenir LT Std 55 Roman"/>
          <w:noProof/>
          <w:color w:val="000000" w:themeColor="text1"/>
          <w:sz w:val="20"/>
          <w:lang w:eastAsia="es-MX"/>
        </w:rPr>
        <w:t>0</w:t>
      </w:r>
      <w:r w:rsidR="005A43F4">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334C84">
        <w:rPr>
          <w:rFonts w:ascii="Avenir LT Std 55 Roman" w:hAnsi="Avenir LT Std 55 Roman"/>
          <w:noProof/>
          <w:color w:val="000000" w:themeColor="text1"/>
          <w:sz w:val="20"/>
          <w:lang w:eastAsia="es-MX"/>
        </w:rPr>
        <w:t>29</w:t>
      </w:r>
      <w:r w:rsidR="00732130">
        <w:rPr>
          <w:rFonts w:ascii="Avenir LT Std 55 Roman" w:hAnsi="Avenir LT Std 55 Roman"/>
          <w:noProof/>
          <w:color w:val="000000" w:themeColor="text1"/>
          <w:sz w:val="20"/>
          <w:lang w:eastAsia="es-MX"/>
        </w:rPr>
        <w:t xml:space="preserve"> de Octubre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826DFB">
        <w:rPr>
          <w:rFonts w:ascii="Avenir LT Std 55 Roman" w:hAnsi="Avenir LT Std 55 Roman"/>
          <w:noProof/>
          <w:color w:val="000000" w:themeColor="text1"/>
          <w:sz w:val="20"/>
          <w:lang w:eastAsia="es-MX"/>
        </w:rPr>
        <w:t>10:4</w:t>
      </w:r>
      <w:r w:rsidR="00334C84">
        <w:rPr>
          <w:rFonts w:ascii="Avenir LT Std 55 Roman" w:hAnsi="Avenir LT Std 55 Roman"/>
          <w:noProof/>
          <w:color w:val="000000" w:themeColor="text1"/>
          <w:sz w:val="20"/>
          <w:lang w:eastAsia="es-MX"/>
        </w:rPr>
        <w:t xml:space="preserve">0 </w:t>
      </w:r>
      <w:r w:rsidRPr="00B36E17">
        <w:rPr>
          <w:rFonts w:ascii="Avenir LT Std 55 Roman" w:hAnsi="Avenir LT Std 55 Roman"/>
          <w:noProof/>
          <w:color w:val="000000" w:themeColor="text1"/>
          <w:sz w:val="20"/>
          <w:lang w:eastAsia="es-MX"/>
        </w:rPr>
        <w:t xml:space="preserve"> horas del día </w:t>
      </w:r>
      <w:r w:rsidR="00334C84">
        <w:rPr>
          <w:rFonts w:ascii="Avenir LT Std 55 Roman" w:hAnsi="Avenir LT Std 55 Roman"/>
          <w:noProof/>
          <w:color w:val="000000" w:themeColor="text1"/>
          <w:sz w:val="20"/>
          <w:lang w:eastAsia="es-MX"/>
        </w:rPr>
        <w:t>30</w:t>
      </w:r>
      <w:r w:rsidR="00732130">
        <w:rPr>
          <w:rFonts w:ascii="Avenir LT Std 55 Roman" w:hAnsi="Avenir LT Std 55 Roman"/>
          <w:noProof/>
          <w:color w:val="000000" w:themeColor="text1"/>
          <w:sz w:val="20"/>
          <w:lang w:eastAsia="es-MX"/>
        </w:rPr>
        <w:t xml:space="preserve"> de Octubre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w:t>
      </w:r>
      <w:r w:rsidRPr="00B36E17">
        <w:rPr>
          <w:rFonts w:ascii="Avenir LT Std 55 Roman" w:hAnsi="Avenir LT Std 55 Roman" w:cs="Arial"/>
          <w:color w:val="000000" w:themeColor="text1"/>
          <w:sz w:val="20"/>
        </w:rPr>
        <w:lastRenderedPageBreak/>
        <w:t xml:space="preserve">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283E3F">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w:t>
      </w:r>
      <w:r w:rsidRPr="009D39B2">
        <w:rPr>
          <w:rFonts w:ascii="Avenir LT Std 55 Roman" w:hAnsi="Avenir LT Std 55 Roman" w:cs="Arial"/>
          <w:sz w:val="20"/>
          <w:szCs w:val="20"/>
        </w:rPr>
        <w:lastRenderedPageBreak/>
        <w:t>“CONVOCANTE”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826DFB">
        <w:rPr>
          <w:rFonts w:ascii="Avenir LT Std 55 Roman" w:hAnsi="Avenir LT Std 55 Roman" w:cs="Tahoma"/>
          <w:b/>
          <w:sz w:val="20"/>
          <w:u w:val="single"/>
        </w:rPr>
        <w:t>30</w:t>
      </w:r>
      <w:r w:rsidR="00283E3F">
        <w:rPr>
          <w:rFonts w:ascii="Avenir LT Std 55 Roman" w:hAnsi="Avenir LT Std 55 Roman" w:cs="Tahoma"/>
          <w:b/>
          <w:sz w:val="20"/>
          <w:u w:val="single"/>
        </w:rPr>
        <w:t xml:space="preserve"> </w:t>
      </w:r>
      <w:r w:rsidRPr="00621974">
        <w:rPr>
          <w:rFonts w:ascii="Avenir LT Std 55 Roman" w:hAnsi="Avenir LT Std 55 Roman" w:cs="Tahoma"/>
          <w:b/>
          <w:sz w:val="20"/>
          <w:u w:val="single"/>
        </w:rPr>
        <w:t>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w:t>
      </w:r>
      <w:r w:rsidRPr="009D39B2">
        <w:rPr>
          <w:rFonts w:ascii="Avenir LT Std 55 Roman" w:hAnsi="Avenir LT Std 55 Roman" w:cs="Tahoma"/>
          <w:sz w:val="20"/>
        </w:rPr>
        <w:lastRenderedPageBreak/>
        <w:t xml:space="preserve">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9C25F2" w:rsidP="003647CC">
      <w:pPr>
        <w:spacing w:line="264" w:lineRule="auto"/>
        <w:jc w:val="both"/>
        <w:rPr>
          <w:rFonts w:ascii="Avenir LT Std 55 Roman" w:hAnsi="Avenir LT Std 55 Roman" w:cs="Arial"/>
          <w:b/>
          <w:color w:val="000000" w:themeColor="text1"/>
          <w:sz w:val="20"/>
          <w:szCs w:val="20"/>
        </w:rPr>
      </w:pPr>
      <w:r>
        <w:rPr>
          <w:rFonts w:ascii="Avenir LT Std 55 Roman" w:hAnsi="Avenir LT Std 55 Roman" w:cs="Arial"/>
          <w:b/>
          <w:color w:val="000000" w:themeColor="text1"/>
          <w:sz w:val="20"/>
          <w:szCs w:val="20"/>
        </w:rPr>
        <w:t>60% ANTICIPO</w:t>
      </w:r>
      <w:bookmarkStart w:id="0" w:name="_GoBack"/>
      <w:bookmarkEnd w:id="0"/>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w:t>
      </w:r>
      <w:r w:rsidRPr="009D39B2">
        <w:rPr>
          <w:rFonts w:ascii="Avenir LT Std 55 Roman" w:hAnsi="Avenir LT Std 55 Roman"/>
          <w:noProof/>
          <w:sz w:val="20"/>
          <w:lang w:eastAsia="es-MX"/>
        </w:rPr>
        <w:lastRenderedPageBreak/>
        <w:t>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w:t>
      </w:r>
      <w:r w:rsidRPr="00CA196B">
        <w:rPr>
          <w:rFonts w:ascii="Avenir LT Std 55 Roman" w:hAnsi="Avenir LT Std 55 Roman"/>
          <w:noProof/>
          <w:color w:val="000000" w:themeColor="text1"/>
          <w:sz w:val="20"/>
          <w:lang w:eastAsia="es-MX"/>
        </w:rPr>
        <w:lastRenderedPageBreak/>
        <w:t>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334C84">
        <w:rPr>
          <w:rFonts w:ascii="Avenir LT Std 55 Roman" w:hAnsi="Avenir LT Std 55 Roman"/>
          <w:noProof/>
          <w:color w:val="000000" w:themeColor="text1"/>
          <w:sz w:val="20"/>
          <w:lang w:eastAsia="es-MX"/>
        </w:rPr>
        <w:t>19 de Octubre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826DFB">
        <w:rPr>
          <w:rFonts w:ascii="Avenir LT Std 55 Roman" w:hAnsi="Avenir LT Std 55 Roman"/>
          <w:noProof/>
          <w:color w:val="000000" w:themeColor="text1"/>
          <w:sz w:val="20"/>
          <w:lang w:eastAsia="es-MX"/>
        </w:rPr>
        <w:t>37/83283</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w:t>
      </w:r>
      <w:r w:rsidR="00826DFB"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p w:rsidR="00AD4EBC" w:rsidRPr="00CA196B" w:rsidRDefault="00AD4EBC" w:rsidP="003647CC">
      <w:pPr>
        <w:spacing w:line="264" w:lineRule="auto"/>
        <w:jc w:val="both"/>
        <w:rPr>
          <w:rFonts w:ascii="Avenir LT Std 55 Roman" w:hAnsi="Avenir LT Std 55 Roman"/>
          <w:noProof/>
          <w:color w:val="000000" w:themeColor="text1"/>
          <w:sz w:val="20"/>
          <w:szCs w:val="20"/>
          <w:lang w:val="es-MX" w:eastAsia="es-MX"/>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1984"/>
        <w:gridCol w:w="5529"/>
      </w:tblGrid>
      <w:tr w:rsidR="006C3418" w:rsidRPr="009D39B2" w:rsidTr="0046779C">
        <w:trPr>
          <w:trHeight w:val="567"/>
          <w:jc w:val="center"/>
        </w:trPr>
        <w:tc>
          <w:tcPr>
            <w:tcW w:w="920"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1984"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5529" w:type="dxa"/>
            <w:shd w:val="clear" w:color="auto" w:fill="D9D9D9" w:themeFill="background1" w:themeFillShade="D9"/>
          </w:tcPr>
          <w:p w:rsidR="006C3418" w:rsidRPr="009D39B2" w:rsidRDefault="006C3418" w:rsidP="00334C84">
            <w:pPr>
              <w:spacing w:line="264" w:lineRule="auto"/>
              <w:jc w:val="center"/>
              <w:rPr>
                <w:rFonts w:ascii="Avenir LT Std 55 Roman" w:hAnsi="Avenir LT Std 55 Roman" w:cs="Arial"/>
                <w:b/>
                <w:sz w:val="18"/>
                <w:szCs w:val="18"/>
              </w:rPr>
            </w:pPr>
          </w:p>
        </w:tc>
      </w:tr>
      <w:tr w:rsidR="0046779C" w:rsidRPr="009D39B2" w:rsidTr="0046779C">
        <w:trPr>
          <w:jc w:val="center"/>
        </w:trPr>
        <w:tc>
          <w:tcPr>
            <w:tcW w:w="920"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tcPr>
          <w:p w:rsidR="0046779C" w:rsidRPr="0066783F" w:rsidRDefault="00826DFB"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6779C" w:rsidRPr="0066783F" w:rsidRDefault="00826DFB"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1984" w:type="dxa"/>
            <w:vAlign w:val="center"/>
          </w:tcPr>
          <w:p w:rsidR="0046779C" w:rsidRPr="0066783F" w:rsidRDefault="00826DFB" w:rsidP="0046779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FILTRO BANDA PARA DESAGUADO DE LODOS</w:t>
            </w:r>
            <w:r w:rsidR="00334C84">
              <w:rPr>
                <w:rFonts w:ascii="Avenir LT Std 55 Roman" w:hAnsi="Avenir LT Std 55 Roman" w:cs="Arial"/>
                <w:b/>
                <w:sz w:val="20"/>
                <w:szCs w:val="20"/>
              </w:rPr>
              <w:t xml:space="preserve"> </w:t>
            </w:r>
            <w:r w:rsidR="0046779C">
              <w:rPr>
                <w:rFonts w:ascii="Avenir LT Std 55 Roman" w:hAnsi="Avenir LT Std 55 Roman" w:cs="Arial"/>
                <w:b/>
                <w:sz w:val="20"/>
                <w:szCs w:val="20"/>
              </w:rPr>
              <w:t xml:space="preserve"> </w:t>
            </w:r>
          </w:p>
        </w:tc>
        <w:tc>
          <w:tcPr>
            <w:tcW w:w="5529" w:type="dxa"/>
          </w:tcPr>
          <w:p w:rsidR="0046779C" w:rsidRDefault="00826DFB" w:rsidP="00826DFB">
            <w:pPr>
              <w:spacing w:line="276" w:lineRule="auto"/>
              <w:jc w:val="center"/>
              <w:rPr>
                <w:rFonts w:ascii="Arial" w:hAnsi="Arial" w:cs="Arial"/>
                <w:sz w:val="18"/>
                <w:szCs w:val="18"/>
                <w:lang w:val="es-MX"/>
              </w:rPr>
            </w:pPr>
            <w:r>
              <w:rPr>
                <w:rFonts w:ascii="Arial" w:hAnsi="Arial" w:cs="Arial"/>
                <w:sz w:val="18"/>
                <w:szCs w:val="18"/>
                <w:lang w:val="es-MX"/>
              </w:rPr>
              <w:t>SE ANEXA ARCHIVO CON ESPECIFICACIONES</w:t>
            </w:r>
          </w:p>
          <w:p w:rsidR="0046779C" w:rsidRPr="00F91E0C" w:rsidRDefault="0046779C" w:rsidP="0046779C">
            <w:pPr>
              <w:spacing w:line="276" w:lineRule="auto"/>
              <w:jc w:val="both"/>
              <w:rPr>
                <w:rFonts w:ascii="Arial" w:hAnsi="Arial" w:cs="Arial"/>
                <w:b/>
                <w:sz w:val="18"/>
                <w:szCs w:val="18"/>
                <w:lang w:val="es-MX"/>
              </w:rPr>
            </w:pPr>
          </w:p>
        </w:tc>
      </w:tr>
    </w:tbl>
    <w:p w:rsidR="00CC4A0A" w:rsidRDefault="00CC4A0A" w:rsidP="00CC4A0A">
      <w:pPr>
        <w:rPr>
          <w:lang w:val="es-MX"/>
        </w:rPr>
      </w:pPr>
    </w:p>
    <w:p w:rsidR="00400E4D" w:rsidRPr="004E5921" w:rsidRDefault="00400E4D"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826DFB">
        <w:rPr>
          <w:rFonts w:ascii="Avenir LT Std 55 Roman" w:hAnsi="Avenir LT Std 55 Roman" w:cs="Arial"/>
          <w:color w:val="000000" w:themeColor="text1"/>
          <w:sz w:val="20"/>
          <w:szCs w:val="20"/>
        </w:rPr>
        <w:t>1</w:t>
      </w:r>
      <w:r>
        <w:rPr>
          <w:rFonts w:ascii="Avenir LT Std 55 Roman" w:hAnsi="Avenir LT Std 55 Roman" w:cs="Arial"/>
          <w:color w:val="000000" w:themeColor="text1"/>
          <w:sz w:val="20"/>
          <w:szCs w:val="20"/>
        </w:rPr>
        <w:t xml:space="preserve"> año</w:t>
      </w:r>
      <w:r w:rsidR="002F68AF">
        <w:rPr>
          <w:rFonts w:ascii="Avenir LT Std 55 Roman" w:hAnsi="Avenir LT Std 55 Roman" w:cs="Arial"/>
          <w:color w:val="000000" w:themeColor="text1"/>
          <w:sz w:val="20"/>
          <w:szCs w:val="20"/>
        </w:rPr>
        <w:t>s</w:t>
      </w:r>
      <w:r>
        <w:rPr>
          <w:rFonts w:ascii="Avenir LT Std 55 Roman" w:hAnsi="Avenir LT Std 55 Roman" w:cs="Arial"/>
          <w:color w:val="000000" w:themeColor="text1"/>
          <w:sz w:val="20"/>
          <w:szCs w:val="20"/>
        </w:rPr>
        <w:t xml:space="preserve">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400E4D" w:rsidRDefault="00400E4D" w:rsidP="003647CC">
      <w:pPr>
        <w:spacing w:line="264" w:lineRule="auto"/>
        <w:jc w:val="both"/>
        <w:rPr>
          <w:rFonts w:ascii="Avenir LT Std 55 Roman" w:hAnsi="Avenir LT Std 55 Roman" w:cs="Arial"/>
          <w:color w:val="000000" w:themeColor="text1"/>
          <w:sz w:val="20"/>
          <w:szCs w:val="20"/>
        </w:rPr>
      </w:pPr>
    </w:p>
    <w:p w:rsidR="003647CC"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00E4D" w:rsidRPr="00CA196B" w:rsidRDefault="00400E4D"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Default="003647CC" w:rsidP="003647CC">
      <w:pPr>
        <w:spacing w:line="264" w:lineRule="auto"/>
        <w:rPr>
          <w:rFonts w:ascii="Avenir LT Std 55 Roman" w:hAnsi="Avenir LT Std 55 Roman" w:cs="Arial"/>
          <w:color w:val="000000" w:themeColor="text1"/>
          <w:sz w:val="20"/>
          <w:szCs w:val="20"/>
        </w:rPr>
      </w:pPr>
    </w:p>
    <w:p w:rsidR="00400E4D" w:rsidRPr="00CA196B" w:rsidRDefault="00400E4D"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Default="003647CC" w:rsidP="003647CC">
      <w:pPr>
        <w:spacing w:line="264" w:lineRule="auto"/>
        <w:jc w:val="center"/>
        <w:rPr>
          <w:rFonts w:ascii="Avenir LT Std 55 Roman" w:hAnsi="Avenir LT Std 55 Roman" w:cs="Arial"/>
          <w:color w:val="000000" w:themeColor="text1"/>
          <w:sz w:val="20"/>
          <w:szCs w:val="20"/>
        </w:rPr>
      </w:pPr>
    </w:p>
    <w:p w:rsidR="00400E4D" w:rsidRDefault="00400E4D" w:rsidP="003647CC">
      <w:pPr>
        <w:spacing w:line="264" w:lineRule="auto"/>
        <w:jc w:val="center"/>
        <w:rPr>
          <w:rFonts w:ascii="Avenir LT Std 55 Roman" w:hAnsi="Avenir LT Std 55 Roman" w:cs="Arial"/>
          <w:color w:val="000000" w:themeColor="text1"/>
          <w:sz w:val="20"/>
          <w:szCs w:val="20"/>
        </w:rPr>
      </w:pPr>
    </w:p>
    <w:p w:rsidR="00400E4D" w:rsidRPr="00CA196B" w:rsidRDefault="00400E4D"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37/83283/2018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732130">
        <w:rPr>
          <w:rFonts w:ascii="Avenir LT Std 55 Roman" w:hAnsi="Avenir LT Std 55 Roman"/>
          <w:color w:val="000000" w:themeColor="text1"/>
          <w:sz w:val="20"/>
          <w:szCs w:val="20"/>
        </w:rPr>
        <w:t>2</w:t>
      </w:r>
      <w:r w:rsidR="002F68AF">
        <w:rPr>
          <w:rFonts w:ascii="Avenir LT Std 55 Roman" w:hAnsi="Avenir LT Std 55 Roman"/>
          <w:color w:val="000000" w:themeColor="text1"/>
          <w:sz w:val="20"/>
          <w:szCs w:val="20"/>
        </w:rPr>
        <w:t>3</w:t>
      </w:r>
      <w:r w:rsidR="00732130">
        <w:rPr>
          <w:rFonts w:ascii="Avenir LT Std 55 Roman" w:hAnsi="Avenir LT Std 55 Roman"/>
          <w:color w:val="000000" w:themeColor="text1"/>
          <w:sz w:val="20"/>
          <w:szCs w:val="20"/>
        </w:rPr>
        <w:t xml:space="preserve"> de </w:t>
      </w:r>
      <w:r w:rsidR="002F68AF">
        <w:rPr>
          <w:rFonts w:ascii="Avenir LT Std 55 Roman" w:hAnsi="Avenir LT Std 55 Roman"/>
          <w:color w:val="000000" w:themeColor="text1"/>
          <w:sz w:val="20"/>
          <w:szCs w:val="20"/>
        </w:rPr>
        <w:t>Octubre</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37/83283/2018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37/83283/2018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37/83283/2018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D56845" w:rsidRPr="00400E4D" w:rsidRDefault="00D56845"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37/83283/2018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37/83283/2018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37/83283/2018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B779CA" w:rsidRPr="00400E4D" w:rsidRDefault="00B779CA"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37/83283/2018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w:t>
      </w:r>
      <w:proofErr w:type="gramStart"/>
      <w:r w:rsidRPr="00CA196B">
        <w:rPr>
          <w:rFonts w:ascii="Avenir LT Std 55 Roman" w:hAnsi="Avenir LT Std 55 Roman" w:cs="Tahoma"/>
          <w:color w:val="000000" w:themeColor="text1"/>
          <w:sz w:val="20"/>
          <w:szCs w:val="20"/>
        </w:rPr>
        <w:t>forman</w:t>
      </w:r>
      <w:proofErr w:type="gramEnd"/>
      <w:r w:rsidRPr="00CA196B">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CA196B">
        <w:rPr>
          <w:rFonts w:ascii="Avenir LT Std 55 Roman" w:hAnsi="Avenir LT Std 55 Roman" w:cs="Arial"/>
          <w:b w:val="0"/>
          <w:caps w:val="0"/>
          <w:color w:val="000000" w:themeColor="text1"/>
          <w:sz w:val="20"/>
        </w:rPr>
        <w:t>si</w:t>
      </w:r>
      <w:proofErr w:type="gramEnd"/>
      <w:r w:rsidRPr="00CA196B">
        <w:rPr>
          <w:rFonts w:ascii="Avenir LT Std 55 Roman" w:hAnsi="Avenir LT Std 55 Roman" w:cs="Arial"/>
          <w:b w:val="0"/>
          <w:caps w:val="0"/>
          <w:color w:val="000000" w:themeColor="text1"/>
          <w:sz w:val="20"/>
        </w:rPr>
        <w:t xml:space="preserve">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12B" w:rsidRDefault="00D8012B">
      <w:r>
        <w:separator/>
      </w:r>
    </w:p>
  </w:endnote>
  <w:endnote w:type="continuationSeparator" w:id="0">
    <w:p w:rsidR="00D8012B" w:rsidRDefault="00D8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4C84" w:rsidRDefault="00334C8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C25F2">
          <w:rPr>
            <w:rFonts w:ascii="Avenir LT Std 55 Roman" w:hAnsi="Avenir LT Std 55 Roman"/>
            <w:noProof/>
            <w:sz w:val="18"/>
            <w:szCs w:val="18"/>
          </w:rPr>
          <w:t>16</w:t>
        </w:r>
        <w:r w:rsidRPr="007B5293">
          <w:rPr>
            <w:rFonts w:ascii="Avenir LT Std 55 Roman" w:hAnsi="Avenir LT Std 55 Roman"/>
            <w:sz w:val="18"/>
            <w:szCs w:val="18"/>
          </w:rPr>
          <w:fldChar w:fldCharType="end"/>
        </w:r>
      </w:p>
    </w:sdtContent>
  </w:sdt>
  <w:p w:rsidR="00334C84" w:rsidRDefault="00334C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12B" w:rsidRDefault="00D8012B">
      <w:r>
        <w:separator/>
      </w:r>
    </w:p>
  </w:footnote>
  <w:footnote w:type="continuationSeparator" w:id="0">
    <w:p w:rsidR="00D8012B" w:rsidRDefault="00D80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84" w:rsidRDefault="00334C84"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31B26"/>
    <w:rsid w:val="00160B7B"/>
    <w:rsid w:val="0017411F"/>
    <w:rsid w:val="001B1D0E"/>
    <w:rsid w:val="002559FB"/>
    <w:rsid w:val="002820A3"/>
    <w:rsid w:val="00283E3F"/>
    <w:rsid w:val="002F68AF"/>
    <w:rsid w:val="002F7462"/>
    <w:rsid w:val="00321389"/>
    <w:rsid w:val="00326310"/>
    <w:rsid w:val="00334C84"/>
    <w:rsid w:val="003408F4"/>
    <w:rsid w:val="003647CC"/>
    <w:rsid w:val="003709C9"/>
    <w:rsid w:val="003E70C5"/>
    <w:rsid w:val="00400E4D"/>
    <w:rsid w:val="00413808"/>
    <w:rsid w:val="00436E8C"/>
    <w:rsid w:val="0046779C"/>
    <w:rsid w:val="00480182"/>
    <w:rsid w:val="004A317D"/>
    <w:rsid w:val="004E5921"/>
    <w:rsid w:val="0054116A"/>
    <w:rsid w:val="00550033"/>
    <w:rsid w:val="00555AE6"/>
    <w:rsid w:val="005A43F4"/>
    <w:rsid w:val="005E2690"/>
    <w:rsid w:val="006552C4"/>
    <w:rsid w:val="006C3418"/>
    <w:rsid w:val="00732130"/>
    <w:rsid w:val="0073778D"/>
    <w:rsid w:val="007803B0"/>
    <w:rsid w:val="00816E33"/>
    <w:rsid w:val="00826DFB"/>
    <w:rsid w:val="008A67E8"/>
    <w:rsid w:val="008E1E0F"/>
    <w:rsid w:val="00936562"/>
    <w:rsid w:val="00941ED7"/>
    <w:rsid w:val="009C19F2"/>
    <w:rsid w:val="009C25F2"/>
    <w:rsid w:val="009C325F"/>
    <w:rsid w:val="009D39B2"/>
    <w:rsid w:val="009E7A6F"/>
    <w:rsid w:val="00A57B00"/>
    <w:rsid w:val="00A67CAE"/>
    <w:rsid w:val="00A70972"/>
    <w:rsid w:val="00A769B2"/>
    <w:rsid w:val="00A81987"/>
    <w:rsid w:val="00AD4EBC"/>
    <w:rsid w:val="00B10D4C"/>
    <w:rsid w:val="00B147A3"/>
    <w:rsid w:val="00B36E17"/>
    <w:rsid w:val="00B730F8"/>
    <w:rsid w:val="00B779CA"/>
    <w:rsid w:val="00B80E9C"/>
    <w:rsid w:val="00BA5FBD"/>
    <w:rsid w:val="00C27B28"/>
    <w:rsid w:val="00C8689E"/>
    <w:rsid w:val="00C87347"/>
    <w:rsid w:val="00CA196B"/>
    <w:rsid w:val="00CB0DE6"/>
    <w:rsid w:val="00CB2757"/>
    <w:rsid w:val="00CC4A0A"/>
    <w:rsid w:val="00CE51AC"/>
    <w:rsid w:val="00CF0F44"/>
    <w:rsid w:val="00D021C6"/>
    <w:rsid w:val="00D437BB"/>
    <w:rsid w:val="00D56845"/>
    <w:rsid w:val="00D8012B"/>
    <w:rsid w:val="00DE1D4A"/>
    <w:rsid w:val="00E0787B"/>
    <w:rsid w:val="00E12925"/>
    <w:rsid w:val="00E34297"/>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1931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15039</Words>
  <Characters>82720</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2018-10-22T13:58:00Z</cp:lastPrinted>
  <dcterms:created xsi:type="dcterms:W3CDTF">2018-10-22T14:15:00Z</dcterms:created>
  <dcterms:modified xsi:type="dcterms:W3CDTF">2018-10-22T16:59:00Z</dcterms:modified>
</cp:coreProperties>
</file>